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</w:t>
      </w:r>
      <w:r w:rsidDel="00000000" w:rsidR="00000000" w:rsidRPr="00000000">
        <w:rPr/>
        <w:pict>
          <v:shape id="ole_rId2" style="width:37pt;height:45pt" o:ole="">
            <v:imagedata r:id="rId1" o:title=""/>
          </v:shape>
          <o:OLEObject DrawAspect="Content" r:id="rId2" ObjectID="_1469793490" ProgID="MSDraw   \* mergeformat" ShapeID="ole_rId2" Type="Embed"/>
        </w:pic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 REPUBLIKA HRVATSKA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SISAČKO – MOSLAVAČKA ŽUPANIJA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OSNOVNA ŠKOLA GLINA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ELEMENTI I MJERILA 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OCJENJIVANJE VLADANJA UČENIKA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Učiteljsko vijeće Osnovne škole Glina, Glina (u daljnjem tekstu Škola)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donijelo je </w:t>
      </w:r>
      <w:r w:rsidDel="00000000" w:rsidR="00000000" w:rsidRPr="00000000">
        <w:rPr>
          <w:rtl w:val="0"/>
        </w:rPr>
        <w:t xml:space="preserve">03. listopada 2024.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Odluku o elementima i mjerilima za ocjenjivanje vladanja učenika za nastavnu godinu 202</w:t>
      </w:r>
      <w:r w:rsidDel="00000000" w:rsidR="00000000" w:rsidRPr="00000000">
        <w:rPr>
          <w:i w:val="1"/>
          <w:rtl w:val="0"/>
        </w:rPr>
        <w:t xml:space="preserve">4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./202</w:t>
      </w:r>
      <w:r w:rsidDel="00000000" w:rsidR="00000000" w:rsidRPr="00000000">
        <w:rPr>
          <w:i w:val="1"/>
          <w:rtl w:val="0"/>
        </w:rPr>
        <w:t xml:space="preserve">5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Napomena: Izrazi koji se u ovom dokumentu koriste za osobe u muškome rodu, neutralni su i odnose se na osobe muškoga i ženskoga spola.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/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1. UVOD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Ocjena iz vladanja učenika temelji se na moralnim načelima: kako se učenik odnosi prema samome sebi, društvenom i materijalnom okruženju.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Ocjenjivanje vladanja učenika obuhvaća sustavno prikupljanje podataka o ponašanju učenika i postignutim kompetencijama prema unaprijed definiranim i prihvaćenim načinima, postupcima i elementima, a sastavnice su: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praćenje, tj. sustavno uočavanje i bilježenje zapažanja o ponašanju učenika prema prethodno utvrđenim elementima od strane razrednika, učitelja i stručnih suradnika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provjeravanje, tj. procjena napretka u ponašanju učenika i postignute razine kompetencija na temelju praćenja, na sjednicama Razrednih vijeća, školskih povjerenstava, te individualnim razgovorima s roditeljima i učenicima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ocjenjivanje, tj. pridavanje opisne vrijednosti </w:t>
      </w: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uzorno, dobro, loše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rezultatima praćenja učenikovog vladanja.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Bilješke o ponašanju učenika vode se u Listi praćenja učenika. Liste praćenja učenika treba ispunjavati jasno i razumljivo za roditelje i učenike. Bilješke sadrže podatke o učeniku, mjesto i vrijeme ponašanja/događaja, opis ponašanja i poduzete mjere. Podaci upisani u Listu praćenja učenika ne smiju vrijeđati niti etiketirati učenika. O njima roditelje informira razrednik.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Elemente vladanja učenika, te načine i postupke ocjenjivanja predlažu svi učitelji škole, stručni suradnici i ravnatelj na sjednici Razrednih vijeća. Školski tim za kvalitetu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ih objedinjuje i usklađuje na razini Škole, a Učiteljsko vijeće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razmatra, definira/redefinira i usvaja.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  Učenik koji prihvaća popravljanje, upozorenja pedagoških djelatnika i preuzima odgovornosti može popraviti ocjenu vladanja. Neprihvatljiva ponašanja za određenu ocjenu vladanja mogu se događati u školi ili putem društvenih mreža.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Aktivnosti u procesu ocjenjivanja razvoja ponašanja učenika provode učitelji, razrednici i stručni suradnici transparentno, javno i kontinuirano, poštujući učenikovu osobnost i dajući svakomu učeniku jednaku priliku.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Načine, postupke i elemente ocjenjivanja vladanja učenika s posebnim potrebama učitelji i stručni suradnici trebaju prilagoditi vrsti teškoće i osobnosti učenika. Ocjena vladanja za te učenike donosi se posebno i poimenično.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Razrednik zaključuje ocjenu vladanja učenika, uz mišljenje Razrednoga vijeća. U zapisniku sjednice toga Razrednoga vijeća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razrednik upisuje uz odgovarajuću točku dnevnog reda napomenu „ocjene vladanja zaključio razrednik uz mišljenje i </w:t>
      </w:r>
      <w:r w:rsidDel="00000000" w:rsidR="00000000" w:rsidRPr="00000000">
        <w:rPr>
          <w:rtl w:val="0"/>
        </w:rPr>
        <w:t xml:space="preserve">suglasnost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Razrednoga vijeća“, tj. navodi po potrebi naglaske i zaključke iz rasprave o ocjeni vladanja za pojedinog učenika (ako ne postoji suglasnost oko ocjene).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color w:val="000000"/>
          <w:sz w:val="24"/>
          <w:szCs w:val="24"/>
          <w:u w:val="single"/>
          <w:vertAlign w:val="baseline"/>
          <w:rtl w:val="0"/>
        </w:rPr>
        <w:t xml:space="preserve">Razrednik ima obavezu: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na početku nastavne godine (na 1. satu razrednika, tj. na 1. roditeljskom sastanku) upoznati javno sve učenike i roditelje s Elementima i mjerilima za ocjenjivanje vladanja učenika.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na kraju nastavne godine (na zadnjem satu razrednika) javno zaključiti i priopćiti, te obrazložiti ocjenu vladanja svakom učeniku, te u odgovarajuću rubriku Dnevnika rada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za sat razrednika upisati - Javno zaključivanje i priopćavanje ocjena vladanja učenika.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redovito informirati roditelje o vladanju učenika, dogovarati i poduzimati mjere za </w:t>
      </w:r>
      <w:r w:rsidDel="00000000" w:rsidR="00000000" w:rsidRPr="00000000">
        <w:rPr>
          <w:rtl w:val="0"/>
        </w:rPr>
        <w:t xml:space="preserve">unapređivanje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vladanja učenika te voditi brigu o tome da roditelj pravovremeno dobije informaciju koju će i zbog čega ocjenu vladanja imati njegovo dijete na kraju nastavne godine.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Učenik ima pravo znati elemente, načine i postupke ocjenjivanja vladanja. Učenik je dužan pridržavati se svih pravila koja se odnose na načine i postupke ocjenjivanja te na pravila ponašanja učenika u školi. Ukoliko se učenik ne pridržava pravila, učitelj/razrednik/stručni suradnik može predložiti određenu pedagošku mjeru razredniku, Razrednome ili </w:t>
      </w:r>
      <w:r w:rsidDel="00000000" w:rsidR="00000000" w:rsidRPr="00000000">
        <w:rPr>
          <w:rtl w:val="0"/>
        </w:rPr>
        <w:t xml:space="preserve">Učiteljskom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vijeću, koji mogu donijeti odluku o izricanju pedagoške mjere učeniku.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Roditelj ima pravo znati elemente, načine i postupke ocjenjivanja vladanja učenika. O načinima i postupcima  ocjenjivanja vladanja roditelje informira razrednik na roditeljskim sastancima i individualnim informativnim razgovorima. Roditelji imaju pravo uputiti primjedbe, komentare i sugestije o ocjenjivanju vladanja učenika ravnatelju i/ili Vijeću roditelja.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ab/>
        <w:t xml:space="preserve">Ravnatelj i stručni suradnici Škole dužni su tijekom nastavne godine pratiti provođenje odredbi Elemenata i mjerila za ocjenjivanje vladanja učenika u nastavnoj godini 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./202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 koje se odnose na ocjenjivanje vladanja učenika. Ravnatelj je dužan razmotriti svaku pisanu predstavku roditelja ili Vijeća roditelja koja se odnosi na načine i postupke ocjenjivanja vladanja učenika i pisano odgovoriti najkasnije u roku od 15 dana od dana zaprimanja predstavke.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Područja praćenja ponašanja učenika su: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1) odnos učenika prema nastavnom radu i učenju,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2) odnos učenika prema drugim učenicima,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3) odnos učenika prema učiteljima i ostalim djelatnicima,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4) odnos učenika prema imovini, društvenom i prirodnom okruženju te zdravstvenoj zaštiti.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Ako učenik ima dijagnosticiran ADHD, ponavljanje pogreške koja je posljedica impulzivnosti ne može se kažnjavati sniženom ocjenom iz vladanja. Pretpostavka za to je da je učenik pristojan i da na poticaj ispravlja pogreške (ako ga druga osoba upozori na neprimjerena ponašanja, odmah ih ispravlja). 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Razrednik pri donošenju konačne ocjene iz vladanja učenika koristiti predložene točke.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2. ELEMENTI I MJERILA ZA OCJENJIVANJE VLADANJA UČENIKA</w:t>
      </w:r>
    </w:p>
    <w:p w:rsidR="00000000" w:rsidDel="00000000" w:rsidP="00000000" w:rsidRDefault="00000000" w:rsidRPr="00000000" w14:paraId="0000004E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UZORNO 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uzornog ponašanja aktivan je u nastavnom procesu, </w:t>
      </w:r>
      <w:r w:rsidDel="00000000" w:rsidR="00000000" w:rsidRPr="00000000">
        <w:rPr>
          <w:rtl w:val="0"/>
        </w:rPr>
        <w:t xml:space="preserve">odgovoran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i savjestan u radu, spreman na suradnju s učenicima i učiteljima. Poštuje dogovorena pravila, primjereno se ponaša, izbjegava sukobe, ima razvijenu kulturu ponašanja, pristojno se ponaša izvan škole (terenska nastava i sl.) te poštuje pravila timskoga rada. 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1) ODNOS PREMA RADU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poštuje Kućni red škole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redovito polazi nastavu i druge aktivnosti (jedan neopravdani sat u nastavnoj godini neće se uzeti u obzir)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ponavlja učinjeni propust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poštuje dogovorena pravila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prihvaća odgovornost za svoje postupke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5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koristi mobitel/slušalice/pametni sat na nastavi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2) ODNOS PREMA DRUGIM UČENICIMA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odgovorno se ponaša prema drugim učenicima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rado pomaže, poštuje tuđa prava i prihvaća različitosti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preuzima odgovornost za svoje postupke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trudi se ispravno postupati u svakoj situaciji bilo u školi, javnim prostorima, društvenim mrežama i u svim oblicima komunikacije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ugrožava sigurnost drugih učenika, ne vrijeđa, ne ismijava, ne prijeti, ne psuje drugim učenicima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3) ODNOS PREMA UČITELJIMA I OSTALIM DJELATNICIMA ŠKOLE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7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na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primjeren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način komunicira i poštuje sve učitelje i djelatnike škole te je ovo pravilo prekršio najviše jednom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7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ometa učitelja za vrijeme nastave ili ostalih oblika odgojno-obrazovnog 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7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ugrožava sigurnost učenika, učitelja i ostalih djelatnika škole te je ovo pravilo prekršio najviše jednom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4) ODNOS PREMA ŠKOLSKOJ IMOVINI, IMOVINI UČENIKA TE DRUŠTVENOM, PRIRODNOM I TEHNIČKOM </w:t>
      </w:r>
      <w:r w:rsidDel="00000000" w:rsidR="00000000" w:rsidRPr="00000000">
        <w:rPr>
          <w:rtl w:val="0"/>
        </w:rPr>
        <w:t xml:space="preserve">OKRUŽENJU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ZDRAVSTVENOJ ZAŠTITI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čuva svoje i tuđe udžbenike, posuđene knjige u školskoj knjižnici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kulturno se ponaša prema školskoj imovini i ped</w:t>
      </w:r>
      <w:r w:rsidDel="00000000" w:rsidR="00000000" w:rsidRPr="00000000">
        <w:rPr>
          <w:rtl w:val="0"/>
        </w:rPr>
        <w:t xml:space="preserve">agoškoj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dokumentaciji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vodi računa o urednosti školskih prostora (sanitarnih čvorova i sl.)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 školu dolazi čist i uredan, primjereno odjeven (odjeća ne smije biti prozirna, prekratka, hlače pristojne dužine i nisu poderane, ne koristi se kozmetikom pretjerano i neprimjereno)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poštuje zabranu konzumiranja alkohola, duhanskih proizvoda i droge, SNUS-a, električnih cigareta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 energetskih pića u unutrašnjem i vanjskom prostoru škole te u svim ostalim prigodama (</w:t>
      </w:r>
      <w:r w:rsidDel="00000000" w:rsidR="00000000" w:rsidRPr="00000000">
        <w:rPr>
          <w:rtl w:val="0"/>
        </w:rPr>
        <w:t xml:space="preserve">izvanučionička nastava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izleti, susreti...)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nosi školske papuče i time održava čistoću škole i čuva osobno i tuđe zdravlje.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jc w:val="both"/>
        <w:rPr/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DOBRO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Povremeno poštuje dogovorena pravila, povremeno ometa učenike i učitelje u radu, ali prihvaća odgovornost i popravlja svoje ponašanje, izbjegava sukobe. Tijekom godine izrečena mu je pedagoška mjera Opomena nakon čega učenik nije promijenio svoje ponašanje. Dobro vladanje može imati i učenik kojemu je izrečena pedagoška mjera Ukor, uz uvjet da je prihvatio odgovornost i popravio ponašanje. Učenik kojem je izrečena mjera Strogi ukor, koji nije prihvatio odgovornost i popravio ponašanje, ne može imati dobro vladanje.</w:t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1) ODNOS PREMA RADU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je neopravdano izostao s nastave, ima od 0.5 do 1% neopravdanih sati od ukupnog broja sati iz svih nastavnih predmeta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šest do osam puta kasni na nastavu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ima šest do osam bilježaka u kojima je navedeno da ne prati i ometa nastavu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šalje tuđi praktičan rad ili pokazuje tuđu domaću zadaću (ima šest do osam zapisa u e-dnevniku)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je zapisan šest do osam puta da je na nastavi koristio mobitel/slušalice/pametni sat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2) ODNOS PREMA DRUGIM UČENICIMA</w:t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ometa druge učenike u učenju i drugim odgojno-obrazovnim aktivnostima što je zabilježeno šest do osam puta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ponekad ugrožava sigurnost drugih učenika, vrijeđa, ismijava, prijeti ili psuje drugim učenicima, neposredno ili posredno putem društvenih mreža; ima šest do osam bilježaka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izaziva sukobe i ne prihvaća odgovornost za svoje postupke (zabilježeno šest do osam puta)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zbog svog ponašanja učenik tijekom školske godine odlazi šest do osam puta na razgovor sa stručnom službom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3) ODNOS PREMA UČITELJIMA I OSTALIM DJELATNICIMA ŠKOLE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oglušio se šest do osam puta na zahtjeve koje postavljaju učitelji (u skladu s pravnim propisima i Kućnim redom škole)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dva puta je prekršio načela primjerenog komuniciranja i iskazivanja poštovanja prema svim učiteljima i djelatnicima škole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dva puta je upozoren, što je i zabilježeno, zbog ugrožavanja sigurnosti i ugleda učitelja te ostalih djelatnika škole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poštuje učenika, učitelje i djelatnike škole, ili samo primjereno komunicira s učiteljima koju mu predaju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ponekad prihvaća odgovornost za svoje postupke, ali greške ponavlja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4) ODNOS PREMA ŠKOLSKOJ IMOVINI , IMOVINI UČENIKA TE DRUŠTVENOM, PRIRODNOM I TEHNIČKOM </w:t>
      </w:r>
      <w:r w:rsidDel="00000000" w:rsidR="00000000" w:rsidRPr="00000000">
        <w:rPr>
          <w:rtl w:val="0"/>
        </w:rPr>
        <w:t xml:space="preserve">OKRUŽENJU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ZDRAVSTVENOJ ZAŠTITI</w:t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0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jednom je evidentiran za uništavanje imovine (učenika, škole, osobnu, društven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0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zaboravlja i ne nosi školske papuče čime stvara teškoće u održavanju čistoće škole i remeti osobno i tuđe zdravlje (šest do osam zapisa)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0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prekršio je zabranu unošenja zabranjenih sredstava u unutrašnji ili vanjski prostor škole, o čemu postoji evidencija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jc w:val="both"/>
        <w:rPr/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LOŠE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lošeg ponašanja učestalo krši Kućni red škole te razredna i druga pravila. Učenik je </w:t>
      </w:r>
      <w:r w:rsidDel="00000000" w:rsidR="00000000" w:rsidRPr="00000000">
        <w:rPr>
          <w:rtl w:val="0"/>
        </w:rPr>
        <w:t xml:space="preserve">neodgovoran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i nesavjestan u radu, nije spreman na suradnju s učenicima i učiteljima te učestalo ometa druge učenike i učitelje u radu. Tijekom godine izrečena mu je pedagoška mjera (Ukor ili Strogi ukor), no i nakon izricanja mjere učenik nije prihvatio odgovornost za svoje ponašanje te ga nije promijenio. </w:t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1) ODNOS PREMA RADU</w:t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učenik je neopravdano izostao više od 1% nastavnih sati od ukupnog broja sati iz svih nastavnih predmeta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više od osam puta kasni na nastavu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često samovoljno mijenja raspored sjedenja, šeće i ustaje bez dopuštenja, ne radi zadano, koristi se mobitelom na nastavi i sl. (ne prihvaća upozorenja i ne preuzima odgovornost)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ima više od osam evidencija u kojima je navedeno da ne prati i ometa nastavu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više od osam puta mu je oduzet mobitel zbog nedozvoljenog korištenja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2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često krši dogovorena pravila: ima više od osam evidencija zbog nepoštivanja pravila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2) ODNOS PREMA DRUGIM UČENICIMA</w:t>
      </w:r>
    </w:p>
    <w:p w:rsidR="00000000" w:rsidDel="00000000" w:rsidP="00000000" w:rsidRDefault="00000000" w:rsidRPr="00000000" w14:paraId="000000E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1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ometa druge učenike u učenju i drugim odgojno-obrazovnim aktivnostima te tako stvara negativnu razrednu klimu i onemogućava nastavni proces što je zabilježeno više od osam puta često ugrožava sigurnost drugih učenika, vrijeđa, prijeti ili psuje drugim učenicima (više od osam evidencija)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1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često izaziva sukobe ili je nasilan prema drugima (neposredno ili putem društvenih mreža)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nesusretljiv je u suradnji s drugim učenicima, ne poštuje pravila timskoga rada, ne uvažava tuđe ideje i mišljenje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ugrožava prava i ne poštuje različitosti drugih učenika te iskazuje netoleranciju prema drugim učenicima, poštuje isključivo osobna prava, a tuđa prava zanemaruje i krši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16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zbog svog ponašanja učenik tijekom školske godine odlazi više od osam puta na razgovor sa stručnom službom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3) ODNOS PREMA UČITELJIMA I OSTALIM DJELATNICIMA ŠKOLE</w:t>
      </w:r>
    </w:p>
    <w:p w:rsidR="00000000" w:rsidDel="00000000" w:rsidP="00000000" w:rsidRDefault="00000000" w:rsidRPr="00000000" w14:paraId="000000F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1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negativno reagira na zahtjeve koje postavljaju učitelji i oglušio se više od osam puta na njih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1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tri i više puta je prekršio načela primjerenog komuniciranja i iskazivanja poštovanja prema svim učiteljima i djelatnicima škole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1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tri i više puta je upozoren, što je i zabilježeno, zbog ugrožavanja sigurnosti i ugleda učitelja te ostalih djelatnika škole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4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ne prihvaća odgovornost za svoje postupke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4) ODNOS PREMA ŠKOLSKOJ IMOVINI, IMOVINI UČENIKA TE DRUŠTVENOM, PRIRODNOM I TEHNIČKOM </w:t>
      </w:r>
      <w:r w:rsidDel="00000000" w:rsidR="00000000" w:rsidRPr="00000000">
        <w:rPr>
          <w:rtl w:val="0"/>
        </w:rPr>
        <w:t xml:space="preserve">OKRUŽENJU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ZDRAVSTVENOJ ZAŠTITI</w:t>
      </w:r>
    </w:p>
    <w:p w:rsidR="00000000" w:rsidDel="00000000" w:rsidP="00000000" w:rsidRDefault="00000000" w:rsidRPr="00000000" w14:paraId="000000F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1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više od jednom je zapisan za uništavanje imovine (učenika, škole, osobnu, društvenu)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1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nakon opomene krši zabranu unošenja zabranjenih sredstava u unutrašnji ili vanjski prostor škole, o čemu postoji zapis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1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u školu ne dolazi čist i uredan, uglavnom je neprimjereno odjeven (nosi majice bez naramenica ili s tankim naramenicama, kratke ili poderane hlače, mini suknju, prozirnu, pripijenu i kratku odjeću, kozmetikom se koristi pretjerano i neprimjereno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1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niti nakon više upozorenja ne želi nositi školske papuče (ima više od osam zapisa)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1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ima više od osam zapisa o tome da ne vodi računa o školskom interijeru i urednosti školskog okoliša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11"/>
        </w:numPr>
        <w:spacing w:line="276" w:lineRule="auto"/>
        <w:ind w:left="720" w:hanging="360"/>
        <w:jc w:val="both"/>
        <w:rPr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svojim ponašanjem uništavanja imovine i okoliša daje loš primjer ostalim učenicima i negativno djeluje na njih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3. PEDAGOŠKE MJERE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76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Neprihvatljiva ponašanja na temelju kojih se izriču pedagoške mjere opomene, ukora, strogog ukora ili pedagoška mjera preseljenja u drugu školu podijeljena su ovisno o težini na: lakša, teža, teška i osobito teška.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Lakšim neprihvatljivim ponašanjima smatra 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ometanje odgojno-obrazovnoga rada (npr. izazivanje nereda, stvaranje buke, pričanje nakon usmene opomene učitelja/nastavnika ili dovikivanje tijekom odgojno-obrazovnoga rada);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onečišćenje </w:t>
      </w:r>
      <w:r w:rsidDel="00000000" w:rsidR="00000000" w:rsidRPr="00000000">
        <w:rPr>
          <w:rtl w:val="0"/>
        </w:rPr>
        <w:t xml:space="preserve">školskog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prostora i okoliša (npr. bacanje smeća izvan koševa za otpatke);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oštećivanje imovine u prostorima škole ili na drugome mjestu gdje se održava odgojno-obrazovni rad nanošenjem manje štete (npr. šaranje, urezivanje u namještaj);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nedopušteno korištenje informacijsko - komunikacijskih uređaja tijekom odgojno - obrazovnoga rada;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pomaganje ili poticanje ulaska neovlaštenih osoba u školski prostor;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poticanje drugih učenika na neprihvatljiva ponašanja;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uznemiravanje učenika ili radnika škole odnosno druge aktivnosti koje izazivaju nelagodu u drugih osoba, nakon što je učenik na to upozoren;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korištenje nedopuštenih izvora podataka u svrhu prepisivanja.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Težim neprihvatljivim ponašanjima smatra se: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ometanje odgojno-obrazovnoga rada na način da je onemogućeno njegovo daljnje izvođenje;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povreda dostojanstva druge osobe omalovažavanjem, vrijeđanjem ili širenjem neistina i glasina o drugome učeniku ili radniku škole;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unošenje ili konzumiranje psihoaktivnih sredstava u prostor škole ili na drugo mjesto gdje se održava odgojno-obrazovni rad;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dovođenje ili pomaganje prilikom dolaska neovlaštenim osobama koje su nanijele štetu osobama ili imovini u prostoru škole ili na drugome mjestu gdje se održava odgojno-obrazovni rad;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namjerno uništavanje imovine nanošenjem veće štete u prostoru škole ili na drugome mjestu gdje se održava odgojno-obrazovni rad;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prikrivanje nasilnih oblika ponašanja;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udaranje, sudjelovanje u tučnjavi i druga ponašanja koja mogu ugroziti sigurnost samog učenika ili druge osobe, ali bez težih posljedica;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korištenje ili zlouporaba podataka drugog učenika iz pedagoške dokumentacije;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klađenje ili kockanje u prostorima škole ili na drugome mjestu gdje se održava odgojno - obrazovni rad;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j) prisvajanje tuđe stvari.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Teškim neprihvatljivim ponašanjima smatra se: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nasilno ponašanje koje nije rezultiralo težim posljedicama;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krivotvorenje ispričnica ili ispitnih materijala;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neovlašteno korištenje tuđih podataka za pristup elektroničkim bazama podataka škole bez njihove izmjene;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krađa tuđe stvari;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poticanje grupnoga govora mržnje;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uništavanje službene dokumentacije škole;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prisila drugog učenika na neprihvatljivo ponašanje ili iznuda drugog učenika (npr. iznuđivanje novca);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unošenje oružja i opasnih predmeta u prostor škole ili drugdje gdje se održava odgojno - obrazovni rad.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Osobito teškim neprihvatljivim ponašanjima smatra 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krivotvorenje pisane ili elektroničke službene dokumentacije škole;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objavljivanje materijala elektroničkim ili drugim putem, a koji za posljedicu imaju povredu ugleda, časti i dostojanstva druge osobe;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teška krađa odnosno krađa počinjena na opasan ili drzak način, obijanjem, provaljivanjem ili svladavanjem prepreka da se dođe do stvari;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ugrožavanje sigurnosti učenika ili radnika škole korištenjem oružja ili opasnih predmeta u prostoru škole ili na drugome mjestu gdje se održava odgojno - obrazovni rad;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nasilno ponašanje koje je rezultiralo teškim emocionalnim ili fizičkim posljedicama za drugu osobu.</w:t>
      </w:r>
    </w:p>
    <w:p w:rsidR="00000000" w:rsidDel="00000000" w:rsidP="00000000" w:rsidRDefault="00000000" w:rsidRPr="00000000" w14:paraId="0000014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Svako izricanje pedagoške mjere temelji se na bilješkama iz pedagoške dokumentacije i/ili službenim bilješkama stručnih suradnika i/ili ravnatelja, a ako je potrebno i na mišljenjima drugih nadležnih institucija.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Pedagoška mjera opomene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izriče se nakon drugog evidentiranog lakšeg neprihvatljivog ponašanja iz članka  ili u slučaju da je učenik neopravdano izostao više od 0,5% nastavnih sati od </w:t>
      </w:r>
      <w:r w:rsidDel="00000000" w:rsidR="00000000" w:rsidRPr="00000000">
        <w:rPr>
          <w:rtl w:val="0"/>
        </w:rPr>
        <w:t xml:space="preserve">ukupnog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broja sati u koje je trebao biti uključen tijekom nastavne godine.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Pedagoška mjera ukora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izriče se zbog težeg neprihvatljivog ponašanja ili u slučaju da je učenik neopravdano izostao više od 1% nastavnih sati od </w:t>
      </w:r>
      <w:r w:rsidDel="00000000" w:rsidR="00000000" w:rsidRPr="00000000">
        <w:rPr>
          <w:rtl w:val="0"/>
        </w:rPr>
        <w:t xml:space="preserve">ukupnog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broja sati u koje je trebao biti uključen tijekom nastavne godine.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Pedagoška mjera strogog ukora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izriče se zbog teškog neprihvatljivog ponašanja ili u slučaju da je učenik neopravdano izostao više od 1,5% nastavnih sati od </w:t>
      </w:r>
      <w:r w:rsidDel="00000000" w:rsidR="00000000" w:rsidRPr="00000000">
        <w:rPr>
          <w:rtl w:val="0"/>
        </w:rPr>
        <w:t xml:space="preserve">ukupnog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broja sati u koje je trebao biti uključen tijekom nastavne godine.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418" w:top="1418" w:left="1418" w:right="141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Pedagoška mjera preseljenja u drugu školu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izriče se zbog osobito teškog neprihvatljivog ponašanja ili u slučaju da je učenik neopravdano izostao više od 2% nastavnih sati od </w:t>
      </w:r>
      <w:r w:rsidDel="00000000" w:rsidR="00000000" w:rsidRPr="00000000">
        <w:rPr>
          <w:rtl w:val="0"/>
        </w:rPr>
        <w:t xml:space="preserve">ukupnog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broja sati u koje je trebao biti uključen tijekom nastavne godine</w:t>
      </w:r>
    </w:p>
    <w:p w:rsidR="00000000" w:rsidDel="00000000" w:rsidP="00000000" w:rsidRDefault="00000000" w:rsidRPr="00000000" w14:paraId="00000150">
      <w:pPr>
        <w:jc w:val="left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4. TABLICA ZA ZAKLJUČIVANJE OCJENE VLADANJA NA KRAJU NASTAVNE GODINE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1"/>
        <w:tblW w:w="14834.662661050545" w:type="dxa"/>
        <w:jc w:val="left"/>
        <w:tblInd w:w="-480.0" w:type="dxa"/>
        <w:tblLayout w:type="fixed"/>
        <w:tblLook w:val="0000"/>
      </w:tblPr>
      <w:tblGrid>
        <w:gridCol w:w="573.5469524281467"/>
        <w:gridCol w:w="3010.403369672944"/>
        <w:gridCol w:w="624.294846382557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23.3373389494549"/>
        <w:gridCol w:w="656.8500991080277"/>
        <w:gridCol w:w="656.8500991080277"/>
        <w:gridCol w:w="590.7820862239842"/>
        <w:gridCol w:w="623.3373389494549"/>
        <w:gridCol w:w="623.3373389494549"/>
        <w:gridCol w:w="618.5498017839445"/>
        <w:tblGridChange w:id="0">
          <w:tblGrid>
            <w:gridCol w:w="573.5469524281467"/>
            <w:gridCol w:w="3010.403369672944"/>
            <w:gridCol w:w="624.294846382557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23.3373389494549"/>
            <w:gridCol w:w="656.8500991080277"/>
            <w:gridCol w:w="656.8500991080277"/>
            <w:gridCol w:w="590.7820862239842"/>
            <w:gridCol w:w="623.3373389494549"/>
            <w:gridCol w:w="623.3373389494549"/>
            <w:gridCol w:w="618.5498017839445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IME I PREZIME UČENIKA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Redov</w:t>
            </w: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nastava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Izborna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Z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P/B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SJK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widowControl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widowControl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A">
      <w:pPr>
        <w:jc w:val="center"/>
        <w:rPr>
          <w:sz w:val="24"/>
          <w:szCs w:val="24"/>
          <w:vertAlign w:val="baseline"/>
        </w:rPr>
        <w:sectPr>
          <w:type w:val="nextPage"/>
          <w:pgSz w:h="11906" w:w="16838" w:orient="landscape"/>
          <w:pgMar w:bottom="1418" w:top="1418" w:left="1418" w:right="1418" w:header="0" w:footer="0"/>
        </w:sect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U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uzorno</w:t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dobro</w:t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loše</w:t>
        <w:tab/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ocjena razrednika</w:t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Z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- zaključna ocjen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5. ZAVRŠNE ODREDBE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UZORNO VLADANJE ima učenik za kojega uz navedene kriterije vrijedi sljedeće: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jc w:val="center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numPr>
          <w:ilvl w:val="0"/>
          <w:numId w:val="5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redovito poštuje Kućni red Škole te školska i razredna pravila u cijelosti. </w:t>
      </w:r>
    </w:p>
    <w:p w:rsidR="00000000" w:rsidDel="00000000" w:rsidP="00000000" w:rsidRDefault="00000000" w:rsidRPr="00000000" w14:paraId="00000361">
      <w:pPr>
        <w:numPr>
          <w:ilvl w:val="0"/>
          <w:numId w:val="5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nema izrečenu pedagošku mjeru tijekom tekuće nastavne godine. </w:t>
      </w:r>
    </w:p>
    <w:p w:rsidR="00000000" w:rsidDel="00000000" w:rsidP="00000000" w:rsidRDefault="00000000" w:rsidRPr="00000000" w14:paraId="00000362">
      <w:pPr>
        <w:numPr>
          <w:ilvl w:val="0"/>
          <w:numId w:val="5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Uzorno vladanje može imati učenik kojemu je izrečena pedagoška mjera Opomene i/ili Ukora, ali uz uvjet da je preuzeo odgovornost i popravio ponašanje zbog kojeg mu je izrečena mjera. </w:t>
      </w:r>
    </w:p>
    <w:p w:rsidR="00000000" w:rsidDel="00000000" w:rsidP="00000000" w:rsidRDefault="00000000" w:rsidRPr="00000000" w14:paraId="00000363">
      <w:pPr>
        <w:numPr>
          <w:ilvl w:val="0"/>
          <w:numId w:val="5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kojemu je izrečena Opomena i/ili Ukor, a koji nije preuzeo odgovornost za svoje ponašanje i ponavlja ponašanje zbog kojeg je dobio navedene pedagoške mjere, ne može imati uzorno vladanje. </w:t>
      </w:r>
    </w:p>
    <w:p w:rsidR="00000000" w:rsidDel="00000000" w:rsidP="00000000" w:rsidRDefault="00000000" w:rsidRPr="00000000" w14:paraId="0000036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DOBRO VLADANJE ima učenik za kojeg uz navedene kriterije vrijedi i sljedeće: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numPr>
          <w:ilvl w:val="0"/>
          <w:numId w:val="7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povremeno ne poštuje i krši Kućni red Škole te školska i razredna pravila. </w:t>
      </w:r>
    </w:p>
    <w:p w:rsidR="00000000" w:rsidDel="00000000" w:rsidP="00000000" w:rsidRDefault="00000000" w:rsidRPr="00000000" w14:paraId="00000368">
      <w:pPr>
        <w:numPr>
          <w:ilvl w:val="0"/>
          <w:numId w:val="7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Učeniku je tijekom nastavne godine izrečena pedagoška mjera Opomene i/ili Ukora, nakon čega učenik nije prihvatio odgovornost i nije popravio ponašanje zbog </w:t>
      </w:r>
      <w:r w:rsidDel="00000000" w:rsidR="00000000" w:rsidRPr="00000000">
        <w:rPr>
          <w:rtl w:val="0"/>
        </w:rPr>
        <w:t xml:space="preserve">kojeg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mu je izrečena mjera. </w:t>
      </w:r>
    </w:p>
    <w:p w:rsidR="00000000" w:rsidDel="00000000" w:rsidP="00000000" w:rsidRDefault="00000000" w:rsidRPr="00000000" w14:paraId="00000369">
      <w:pPr>
        <w:numPr>
          <w:ilvl w:val="0"/>
          <w:numId w:val="7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Dobro vladanje može imati učenik kojemu je izrečena mjera Strogog ukora, ali uz uvjet da je učenik prihvatio odgovornost i popravio svoje ponašanje. </w:t>
      </w:r>
    </w:p>
    <w:p w:rsidR="00000000" w:rsidDel="00000000" w:rsidP="00000000" w:rsidRDefault="00000000" w:rsidRPr="00000000" w14:paraId="0000036A">
      <w:pPr>
        <w:numPr>
          <w:ilvl w:val="0"/>
          <w:numId w:val="7"/>
        </w:numPr>
        <w:ind w:left="36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kojemu je izrečena mjera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Ukora, a koji nije preuzeo odgovornost za svoje ponašanje i ponavlja ponašanje zbog kojega je dobio navedenu pedagošku mjeru, ne može imati dobro vladanje. </w:t>
      </w:r>
    </w:p>
    <w:p w:rsidR="00000000" w:rsidDel="00000000" w:rsidP="00000000" w:rsidRDefault="00000000" w:rsidRPr="00000000" w14:paraId="0000036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LOŠE VLADANJE ima učenik za kojeg uz navedene kriterije vrijedi sljedeće: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numPr>
          <w:ilvl w:val="0"/>
          <w:numId w:val="9"/>
        </w:numPr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Učenik učestalo ne poštuje i krši Kućni red Škole te školska i razredna pravila. </w:t>
      </w:r>
    </w:p>
    <w:p w:rsidR="00000000" w:rsidDel="00000000" w:rsidP="00000000" w:rsidRDefault="00000000" w:rsidRPr="00000000" w14:paraId="0000036F">
      <w:pPr>
        <w:numPr>
          <w:ilvl w:val="0"/>
          <w:numId w:val="9"/>
        </w:numPr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Loše vladanje ima učenik kojemu je izrečena mjera </w:t>
      </w:r>
      <w:r w:rsidDel="00000000" w:rsidR="00000000" w:rsidRPr="00000000">
        <w:rPr>
          <w:rtl w:val="0"/>
        </w:rPr>
        <w:t xml:space="preserve">Strogog u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kora, nakon čega učenik nije prihvatio odgovornost i nije popravio ponašanje zbog </w:t>
      </w:r>
      <w:r w:rsidDel="00000000" w:rsidR="00000000" w:rsidRPr="00000000">
        <w:rPr>
          <w:rtl w:val="0"/>
        </w:rPr>
        <w:t xml:space="preserve">kojeg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mu je izrečena mjera. </w:t>
      </w:r>
    </w:p>
    <w:p w:rsidR="00000000" w:rsidDel="00000000" w:rsidP="00000000" w:rsidRDefault="00000000" w:rsidRPr="00000000" w14:paraId="0000037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Ravnatelj OŠ Glina: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Zoran Kirinić, prof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8" w:top="1418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LOnormal"/>
    <w:qFormat w:val="1"/>
    <w:pPr>
      <w:widowControl w:val="1"/>
      <w:suppressAutoHyphens w:val="1"/>
      <w:bidi w:val="0"/>
      <w:spacing w:after="0" w:before="0" w:line="1" w:lineRule="atLeast"/>
      <w:jc w:val="left"/>
      <w:textAlignment w:val="top"/>
      <w:outlineLvl w:val="0"/>
    </w:pPr>
    <w:rPr>
      <w:rFonts w:ascii="Times New Roman" w:cs="Arial" w:eastAsia="NSimSun" w:hAnsi="Times New Roman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ar-SA" w:eastAsia="hr-HR" w:val="hr-HR"/>
    </w:rPr>
  </w:style>
  <w:style w:type="paragraph" w:styleId="Stilnaslova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Stilnaslova2">
    <w:name w:val="Heading 2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Stilnaslova3">
    <w:name w:val="Heading 3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Stilnaslova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Stilnaslova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Stilnaslova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Zadanifontodlomka">
    <w:name w:val="Zadani font odlomka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Hiperveza">
    <w:name w:val="Hiperveza"/>
    <w:qFormat w:val="1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paragraph" w:styleId="Stilnaslova">
    <w:name w:val="Stil naslova"/>
    <w:basedOn w:val="Normal"/>
    <w:next w:val="Tijeloteksta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hr-HR"/>
    </w:rPr>
  </w:style>
  <w:style w:type="paragraph" w:styleId="Naslov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Default">
    <w:name w:val="Default"/>
    <w:qFormat w:val="1"/>
    <w:pPr>
      <w:widowControl w:val="1"/>
      <w:suppressAutoHyphens w:val="1"/>
      <w:bidi w:val="0"/>
      <w:spacing w:after="0" w:before="0" w:line="1" w:lineRule="atLeast"/>
      <w:jc w:val="left"/>
      <w:textAlignment w:val="top"/>
      <w:outlineLvl w:val="0"/>
    </w:pPr>
    <w:rPr>
      <w:rFonts w:ascii="Calibri" w:cs="Calibri" w:eastAsia="NSimSun" w:hAnsi="Calibri"/>
      <w:color w:val="000000"/>
      <w:w w:val="100"/>
      <w:kern w:val="0"/>
      <w:position w:val="0"/>
      <w:sz w:val="24"/>
      <w:szCs w:val="24"/>
      <w:effect w:val="none"/>
      <w:vertAlign w:val="baseline"/>
      <w:em w:val="none"/>
      <w:lang w:bidi="ar-SA" w:eastAsia="hr-HR" w:val="hr-HR"/>
    </w:rPr>
  </w:style>
  <w:style w:type="paragraph" w:styleId="Tekstbalonia">
    <w:name w:val="Tekst balončića"/>
    <w:basedOn w:val="LOnormal"/>
    <w:qFormat w:val="1"/>
    <w:pPr>
      <w:suppressAutoHyphens w:val="1"/>
      <w:spacing w:line="1" w:lineRule="atLeast"/>
      <w:textAlignment w:val="top"/>
      <w:outlineLvl w:val="0"/>
    </w:pPr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  <w:lang w:bidi="ar-SA" w:eastAsia="hr-HR" w:val="hr-HR"/>
    </w:rPr>
  </w:style>
  <w:style w:type="paragraph" w:styleId="Podnaslov">
    <w:name w:val="Subtitle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Zaglavljeipodnoje">
    <w:name w:val="Zaglavlje i podnožje"/>
    <w:basedOn w:val="Normal"/>
    <w:qFormat w:val="1"/>
    <w:pPr>
      <w:suppressLineNumbers w:val="1"/>
      <w:tabs>
        <w:tab w:val="clear" w:pos="720"/>
        <w:tab w:val="center" w:leader="none" w:pos="4535"/>
        <w:tab w:val="right" w:leader="none" w:pos="9070"/>
      </w:tabs>
    </w:pPr>
    <w:rPr/>
  </w:style>
  <w:style w:type="paragraph" w:styleId="Zaglavlje">
    <w:name w:val="Header"/>
    <w:basedOn w:val="Zaglavljeipodnoje"/>
    <w:pPr>
      <w:suppressLineNumbers w:val="1"/>
    </w:pPr>
    <w:rPr/>
  </w:style>
  <w:style w:type="numbering" w:styleId="Bezpopisa">
    <w:name w:val="Bez popisa"/>
    <w:qFormat w:val="1"/>
  </w:style>
  <w:style w:type="table" w:styleId="TableNormal" w:default="1">
    <w:name w:val="Table Normal"/>
  </w:style>
  <w:style w:type="table" w:styleId="Običnatablica">
    <w:name w:val="Obična tablica"/>
    <w:qFormat w:val="1"/>
    <w:pPr>
      <w:spacing w:line="1" w:lineRule="atLeast"/>
      <w:ind w:rightChars="0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Rešetkatablice">
    <w:name w:val="Rešetka tablice"/>
    <w:basedOn w:val="Običnatablica"/>
    <w:qFormat w:val="1"/>
    <w:pPr>
      <w:spacing w:line="1" w:lineRule="atLeast"/>
      <w:ind w:rightChars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9Yf/M1LUtP30kD0Gjkogc4CfA==">CgMxLjA4AHIhMU5NeExxRm8tbFJqNTlGNDlHUkd0UnNoamxlV0xZWGtI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2019-09-18T10:51:00Z</dcterms:created>
  <dc:creator>RAVNATELJ</dc:creator>
</cp:coreProperties>
</file>