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OSNOVNA ŠKOLA GLINA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Ante Starčevića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44400 Glina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ŠKOLSKI PREVENTIVNI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šk.god. 202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./202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Voditelj  ŠPP: Michaela Grmuša Muža, prof.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PROCJENA STANJA I POTREBA: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Školski preventivni program  za školsku godinu 202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 nastao je procjenom stanja  razrednika, učitelja i stručnih suradnika. Obuhvaća više područja preventivnog djelovanja u skladu s karakteristikama dobi učenika. Sadržaji preventivnog programa integrirani su u redovitu nastavu, satove razrednog odjela, izvannastavne i izvanškolske aktivnosti, stručno usavršavanje učitelja, kao i dodatno osmišljene programe i projekte. Na taj način je cjelokupni školski rad u funkciji prevencijskog djelovanja. 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Procjena potreba preventivnog djelovanja utvrđena je temeljem školske dokumentacije (zapisnici s razrednih vijeća, evidencije pedagoških mjera, praćenje ponašanja učenika i ocjene iz vladanja, provedena istraživanja i rezultati evaluacija provedenih projekata/programa u školi). 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Socijalne, komunikacijske, emocionalne i akademske vještine važni su zaštitni čimbenici koji doprinose prevenciji školskog neuspjeha, prevenciji ovisnosti, nasilja i drugih rizičnih oblika ponašanja. Stoga smo preventivne aktivnosti, programe i projekte usmjerili na razvoj osobne kompetentnosti učenika i na razvoj životnih vještina (socijalne vještine,komunikacijske vještine, vještine rješavanja problema u odnosima, akademske vještine, vještine odlučivanja i postavljanja ciljeva, nošenja s osjećajima,…). Jačanjem ovih vještina podržavamo  zdrav razvoj učenika, odnosno, pomažemo  im  da prihvate sebe, nauče skrbiti o svom mentalnom i tjelesnom zdravlju, preuzmu odgovornost za vlastita ponašanja i nauče kako </w:t>
      </w:r>
      <w:r w:rsidDel="00000000" w:rsidR="00000000" w:rsidRPr="00000000">
        <w:rPr>
          <w:sz w:val="24"/>
          <w:szCs w:val="24"/>
          <w:rtl w:val="0"/>
        </w:rPr>
        <w:t xml:space="preserve">odabrati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zdrave stilove življenja.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Osim za učenike, planirane su i preventivne aktivnosti i programi namijenjeni roditeljima i učiteljima. Određene preventivne sadržaje ostvarujemo u suradnji s vanjskim suradnicima. 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Podaci o prisutnosti različitih oblika problema u ponašanju i odrastanju  djece osnova su za planiranje naših preventivnih strategija, a pri njihovu planiranju imamo na umu </w:t>
      </w:r>
      <w:r w:rsidDel="00000000" w:rsidR="00000000" w:rsidRPr="00000000">
        <w:rPr>
          <w:sz w:val="24"/>
          <w:szCs w:val="24"/>
          <w:rtl w:val="0"/>
        </w:rPr>
        <w:t xml:space="preserve">sljedeće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 broj obitelji, odnosno djece koja žive u siromaštvu,  stope razvoda braka,  broj djece koja žive s jednim roditeljem,  broj djece koji su zanemareni i zlostavljani, zlouporaba droga/alkohola , seksualna aktivnost prije 14. godine, nezaštićeni seksualni odnosi, nasilje u zajednici,  vršnjačko nasilje,  nasilje u obitelji,  vandalizam u zajednici i školi ,samoozljeđivanje, suicidi djece i mladih. 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Provođenje preventivnih programa za godinu 202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./202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 planiran je Godišnjim planom i programom rada škole, Školskim kurikulumom, programima rada razrednika i lokalne zajednice. 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Tematski smo ih  podijelili u programe: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zaštite zdravlja učenika,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programe prevencije ovisnosti ,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programe prevencije nasilja,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program prevencije školskog neuspjeha. </w:t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Programi se provode u sklopu redovne nastave, sata razrednika, školskih ili razrednih projekata, predavanja i drugih aktivnosti koje organizira školska ustanova i lokalna zajednica. </w:t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Programi prevencije ovisnosti u mjesecu borbe protiv ovisnosti (studeni-prosinac) radit će se  kroz radionice i projekte u kojem će  učenici  sedmih i osmih razreda aktivno sudjelovati na predavanjima na temu sredstava ovisnosti i posljedicama njihova konzumiranja na pojedinca i društvenu zajednicu. </w:t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Budući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nemamo podatke na razini škole o pojavnosti nasilja u školi u sklopu Programa prevencije nasilja  ove godine provest ćemo anketu i održati  radionice za sve učenike čiji je cilj raspraviti  o osobnim sigurnosnim pravima, vrstama napada i efikasnim strategijama za snalaženjem u mnogim potencijalno opasnim situacijama.</w:t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Selektivne programe prevencije usmjerene na pojedince, skupine ili razrede sa </w:t>
      </w:r>
      <w:r w:rsidDel="00000000" w:rsidR="00000000" w:rsidRPr="00000000">
        <w:rPr>
          <w:sz w:val="24"/>
          <w:szCs w:val="24"/>
          <w:rtl w:val="0"/>
        </w:rPr>
        <w:t xml:space="preserve">značajnim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problemima i ove godine provodit će se  u razredima  i skupinama u kojima će u međusobnim interakcijama dolaziti do fizičkog ili verbalnog nasilja. Cilj je senzibiliziranje razreda za potrebe pojedinca te učenja tolerancije i suživota u razredu. Aktivnosti će biti usmjerene i prema roditeljima kroz individualne razgovore, savjetovanja i roditeljske sastanke. </w:t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 skladu sa zakonom radit će se i  program  prevencije školskog neuspjeha učenika.</w:t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CILJEVI PROGRAMA:</w:t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za učenike: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utemeljenje zdravog i odgovornog načina života djece koja će svoje potrebe znati zadovoljiti društveno prihvatljivim oblicima ponašanja,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educiranje o pojavi i štetnosti nasilničkog ponašanja i općenito neprihvatljivog  ponašanja mladih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ugradnja pozitivnih vrijednosti i stavova koji će i u budućnosti osigurati pozitivne društvene vrijednosti,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prevencija nepoželjnog ponašanja tj. prevencija bilo kojeg oblika nasilja i zlostavljanja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savjetovanje  i osvještavanje  o posljedicama  nasilnih djela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poticanje  na razmišljanje i usvajanje pozitivnih životnih vrijednosti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razvijanje osjećaja osobne vrijednosti kao osobne i društvene odgovornosti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promicanje fizičke, socijalne i duhovne dimenzije zdravlja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promicanje zdravih stilova života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razvijanje  pozitivne slike o sebi razvijajući samopoštovanje i samopouzdanje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učenje vještina donošenja odluka i rješavanja problema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učenje o osjećajima i njihovom izražavanju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razvijanje svih oblika socijalnih i komunikacijskih  vještina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kroz odgojno-obrazovni proces smanjiti broj djece i  mladih koji će započeti s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iskušavanjem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sredstava ovisnosti,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formiranje ispravnog stava prema sredstvima ovisnosti i upoznavanje sa štetnim posljedicama njihove zlouporabe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stjecanje vještine otpora pritiscima da se uzme droga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promicanje ljubavi prema zavičaju i domovini te čuvanje kulturne baštine kao  dijela nacionalno</w:t>
      </w:r>
      <w:r w:rsidDel="00000000" w:rsidR="00000000" w:rsidRPr="00000000">
        <w:rPr>
          <w:sz w:val="24"/>
          <w:szCs w:val="24"/>
          <w:rtl w:val="0"/>
        </w:rPr>
        <w:t xml:space="preserve">g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i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kulturnog identiteta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razvijanje ekološke svijesti i navika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promicanje snošljivosti i poštivanje različitosti</w:t>
      </w:r>
    </w:p>
    <w:p w:rsidR="00000000" w:rsidDel="00000000" w:rsidP="00000000" w:rsidRDefault="00000000" w:rsidRPr="00000000" w14:paraId="00000032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za roditelje: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stjecanje znanja kako pomoći djeci da ostanu zdravi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unapređenje neophodnih vještina za kvalitetno roditeljstvo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primjena naučenih vještina sa svojom djecom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vrednovanje značaja obiteljskog okruženja kao značajnog čimbenika u prevenciji ovisnosti 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vrednovanje značaja zdravog stila življenja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utvrditi prihvatljive i neprihvatljive oblike ponašanja i njihove posljedice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obavijestiti roditelje na roditeljskim sastancima o problemu vršnjačkog nasilja kako bi o tome mogli razgovarati sa svojom djecom i mogli prepoznati znakove viktimizacije na djetetu</w:t>
      </w:r>
    </w:p>
    <w:p w:rsidR="00000000" w:rsidDel="00000000" w:rsidP="00000000" w:rsidRDefault="00000000" w:rsidRPr="00000000" w14:paraId="0000003A">
      <w:pPr>
        <w:jc w:val="both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za učitelje: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educiranje i usavršavanje u vidu raznih radionica, stručnih aktiva, stručnih predavanja te savjetovanja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unapređivati vještinu poučavanja djece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vrednovati značaj školskog okruženja kao značajnog čimbenika u prevenciji ovisnosti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primjenjivati u praksi  zdrav stil življenja i dobru  praksu komunikacije.</w:t>
      </w:r>
    </w:p>
    <w:p w:rsidR="00000000" w:rsidDel="00000000" w:rsidP="00000000" w:rsidRDefault="00000000" w:rsidRPr="00000000" w14:paraId="0000003F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 izradi Školskog preventivnog programa držali smo se i preporuka Strategije prema kojima „obzirom na mnogobrojne čimbenike koji utječu na konzumiranje droga i pojavu ovisnosti kod mladih, programi prevencije ovisnosti i rada s djecom i mladima trebaju biti usmjereni u pravcima koji će razvijati svestranije njihove interese, kreativnost i sposobnosti, te im stvoriti mogućnost da se razviju u osobu koja će uspješno obnašati sve svoje životne uloge.“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4"/>
        <w:rPr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RAD S UČENICIMA</w:t>
      </w:r>
      <w:r w:rsidDel="00000000" w:rsidR="00000000" w:rsidRPr="00000000">
        <w:rPr>
          <w:rtl w:val="0"/>
        </w:rPr>
      </w:r>
    </w:p>
    <w:tbl>
      <w:tblPr>
        <w:tblStyle w:val="Table1"/>
        <w:tblW w:w="14541.999999999998" w:type="dxa"/>
        <w:jc w:val="left"/>
        <w:tbl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H w:color="4bacc6" w:space="0" w:sz="8" w:val="single"/>
          <w:insideV w:color="4bacc6" w:space="0" w:sz="8" w:val="single"/>
        </w:tblBorders>
        <w:tblLayout w:type="fixed"/>
        <w:tblLook w:val="0000"/>
      </w:tblPr>
      <w:tblGrid>
        <w:gridCol w:w="7144"/>
        <w:gridCol w:w="2672"/>
        <w:gridCol w:w="1026"/>
        <w:gridCol w:w="1028"/>
        <w:gridCol w:w="1234"/>
        <w:gridCol w:w="1438"/>
        <w:tblGridChange w:id="0">
          <w:tblGrid>
            <w:gridCol w:w="7144"/>
            <w:gridCol w:w="2672"/>
            <w:gridCol w:w="1026"/>
            <w:gridCol w:w="1028"/>
            <w:gridCol w:w="1234"/>
            <w:gridCol w:w="1438"/>
          </w:tblGrid>
        </w:tblGridChange>
      </w:tblGrid>
      <w:tr>
        <w:trPr>
          <w:cantSplit w:val="0"/>
          <w:trHeight w:val="462" w:hRule="atLeast"/>
          <w:tblHeader w:val="0"/>
        </w:trPr>
        <w:tc>
          <w:tcPr>
            <w:gridSpan w:val="6"/>
            <w:tcBorders>
              <w:top w:color="4bacc6" w:space="0" w:sz="8" w:val="single"/>
              <w:left w:color="4bacc6" w:space="0" w:sz="8" w:val="single"/>
              <w:bottom w:color="4bacc6" w:space="0" w:sz="1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EVALUIRANI PROGRAMI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6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Naziv programa/aktivnosti kratak opis, ciljevi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0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b w:val="0"/>
                <w:i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16"/>
                <w:szCs w:val="16"/>
                <w:vertAlign w:val="baseline"/>
                <w:rtl w:val="0"/>
              </w:rPr>
              <w:t xml:space="preserve">Tko je proveo evaluaciju (rezultata ili učinka)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b w:val="0"/>
                <w:i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16"/>
                <w:szCs w:val="16"/>
                <w:vertAlign w:val="baseline"/>
                <w:rtl w:val="0"/>
              </w:rPr>
              <w:t xml:space="preserve">Rezultati evaluacije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b w:val="0"/>
                <w:i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16"/>
                <w:szCs w:val="16"/>
                <w:vertAlign w:val="baseline"/>
                <w:rtl w:val="0"/>
              </w:rPr>
              <w:t xml:space="preserve">Razred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b w:val="0"/>
                <w:i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16"/>
                <w:szCs w:val="16"/>
                <w:vertAlign w:val="baseline"/>
                <w:rtl w:val="0"/>
              </w:rPr>
              <w:t xml:space="preserve">Broj uč.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b w:val="0"/>
                <w:i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16"/>
                <w:szCs w:val="16"/>
                <w:vertAlign w:val="baseline"/>
                <w:rtl w:val="0"/>
              </w:rPr>
              <w:t xml:space="preserve">Voditelj, suradnici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b w:val="0"/>
                <w:i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16"/>
                <w:szCs w:val="16"/>
                <w:vertAlign w:val="baseline"/>
                <w:rtl w:val="0"/>
              </w:rPr>
              <w:t xml:space="preserve">Planirani broj susreta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Abeceda prevencije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AZOO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– 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Razrednici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Michaela Grmuša Muža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pStyle w:val="Heading4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560.0" w:type="dxa"/>
        <w:jc w:val="left"/>
        <w:tbl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H w:color="4bacc6" w:space="0" w:sz="8" w:val="single"/>
          <w:insideV w:color="4bacc6" w:space="0" w:sz="8" w:val="single"/>
        </w:tblBorders>
        <w:tblLayout w:type="fixed"/>
        <w:tblLook w:val="0000"/>
      </w:tblPr>
      <w:tblGrid>
        <w:gridCol w:w="7152"/>
        <w:gridCol w:w="2675"/>
        <w:gridCol w:w="1028"/>
        <w:gridCol w:w="1029"/>
        <w:gridCol w:w="1235"/>
        <w:gridCol w:w="1441"/>
        <w:tblGridChange w:id="0">
          <w:tblGrid>
            <w:gridCol w:w="7152"/>
            <w:gridCol w:w="2675"/>
            <w:gridCol w:w="1028"/>
            <w:gridCol w:w="1029"/>
            <w:gridCol w:w="1235"/>
            <w:gridCol w:w="1441"/>
          </w:tblGrid>
        </w:tblGridChange>
      </w:tblGrid>
      <w:tr>
        <w:trPr>
          <w:cantSplit w:val="0"/>
          <w:trHeight w:val="451" w:hRule="atLeast"/>
          <w:tblHeader w:val="0"/>
        </w:trPr>
        <w:tc>
          <w:tcPr>
            <w:gridSpan w:val="6"/>
            <w:tcBorders>
              <w:top w:color="4bacc6" w:space="0" w:sz="8" w:val="single"/>
              <w:left w:color="4bacc6" w:space="0" w:sz="8" w:val="single"/>
              <w:bottom w:color="4bacc6" w:space="0" w:sz="1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AKTIVNOSTI/PROGRAMI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 STRUČNIM MIŠLJENJEM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9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Naziv programa/aktivnosti kratak opis, ciljevi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Tko je dao stručno mišljenje /preporuku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Razred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Broj uč.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Voditelj, suradnici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Planirani broj susreta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„Zdrav za 5“ – prevencija štetnih posljedica konzumacije alkohola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 kaznenopravni aspekti zlouporabe alkohola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MUP RH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8.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Djelatnici PU SMŽ i djelatnici HZJZ SMŽ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Škola podrške SMŽ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UNICEF HRVATSKA, MZOM, AZOO, Forum za slobodu odgoja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– 8.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Adela Kadrić Dobrenić, Michaela Grmuša Muža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Hod za obrazovanje djece Afrike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UNICEF HRVATSKA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1. – 8.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SŠ Glina, Učitelji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OŠ Glina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Građanski odgoj i obrazovanje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MZOM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1. – 8.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Učitelji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OŠ Glina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prema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planu SRO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Zdravstveni odgoj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MZOM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1. – 8.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Učitelji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OŠ Glina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, školska medicina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prema planu SRO</w:t>
            </w:r>
          </w:p>
        </w:tc>
      </w:tr>
    </w:tbl>
    <w:p w:rsidR="00000000" w:rsidDel="00000000" w:rsidP="00000000" w:rsidRDefault="00000000" w:rsidRPr="00000000" w14:paraId="0000008E">
      <w:pPr>
        <w:pStyle w:val="Heading4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603.000000000002" w:type="dxa"/>
        <w:jc w:val="left"/>
        <w:tbl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H w:color="4bacc6" w:space="0" w:sz="8" w:val="single"/>
          <w:insideV w:color="4bacc6" w:space="0" w:sz="8" w:val="single"/>
        </w:tblBorders>
        <w:tblLayout w:type="fixed"/>
        <w:tblLook w:val="0000"/>
      </w:tblPr>
      <w:tblGrid>
        <w:gridCol w:w="7174"/>
        <w:gridCol w:w="2683"/>
        <w:gridCol w:w="1031"/>
        <w:gridCol w:w="1032"/>
        <w:gridCol w:w="1239"/>
        <w:gridCol w:w="1444"/>
        <w:tblGridChange w:id="0">
          <w:tblGrid>
            <w:gridCol w:w="7174"/>
            <w:gridCol w:w="2683"/>
            <w:gridCol w:w="1031"/>
            <w:gridCol w:w="1032"/>
            <w:gridCol w:w="1239"/>
            <w:gridCol w:w="1444"/>
          </w:tblGrid>
        </w:tblGridChange>
      </w:tblGrid>
      <w:tr>
        <w:trPr>
          <w:cantSplit w:val="0"/>
          <w:trHeight w:val="419" w:hRule="atLeast"/>
          <w:tblHeader w:val="0"/>
        </w:trPr>
        <w:tc>
          <w:tcPr>
            <w:gridSpan w:val="6"/>
            <w:tcBorders>
              <w:top w:color="4bacc6" w:space="0" w:sz="8" w:val="single"/>
              <w:left w:color="4bacc6" w:space="0" w:sz="8" w:val="single"/>
              <w:bottom w:color="4bacc6" w:space="0" w:sz="1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OSTALE AKTIVNOSTI/PROGRAMI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2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Naziv programa/aktivnosti kratak opis, ciljevi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Autor/i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Razred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Broj uč.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Voditelj, suradnici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Planirani broj susreta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Policajac u zajednici –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preventivna predavanja i radionice za učenike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PP Glina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. –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Djelatnici 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PP Glina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b w:val="0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Prometna pravila –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b w:val="0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prevencija prometnih nezgoda i učenje o prometnim pravilima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PP Glina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– 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Djelatnici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PP Glina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b w:val="0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Manje oružja, manje oružja –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b w:val="0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prevencija uporabe svih vrsta oružja i pirotehničkih sredstava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PP Glina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1. – 2.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Djelatnici 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PP Glina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b w:val="0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Mjesec borbe protiv ovisnosti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OŠ Glina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5. – 8.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Razrednici, stručna služba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b w:val="0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Univerzalna sportska škola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HŠSS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3. – 4.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50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Učitelji TZK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70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Priprema za krizne situacije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Crveni križ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7. – 8.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Djelatnici CK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Nemoj mi se rugati - prevencija nasilja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– 8.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Stručna služba škole              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Pomoć u učenju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1. -8.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Prema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interesu učenika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Stručna služba škole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140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Prekini lanac - elektroničko nasilje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7.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Stručna služba škole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Ovisnost o medijima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digitalnim sadržajima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Preventivno vijeće 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Grada Gline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7. – 8.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Stručna služba škole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Radionice mentalnog zdravlja i prevencije nasilja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Forum za slobodu odgoja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– 8.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Razrednici, stručni suradnici, vanjski suradnici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Bolje spriječiti nego liječiti 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prevencija nasilja u obitelji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adolescentskim vezama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PU SMŽ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8.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Stručna služba škole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EE">
      <w:pPr>
        <w:pStyle w:val="Heading4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RAD S RODITELJIMA</w:t>
      </w:r>
      <w:r w:rsidDel="00000000" w:rsidR="00000000" w:rsidRPr="00000000">
        <w:rPr>
          <w:rtl w:val="0"/>
        </w:rPr>
      </w:r>
    </w:p>
    <w:tbl>
      <w:tblPr>
        <w:tblStyle w:val="Table4"/>
        <w:tblW w:w="14634.0" w:type="dxa"/>
        <w:jc w:val="left"/>
        <w:tbl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H w:color="4bacc6" w:space="0" w:sz="8" w:val="single"/>
          <w:insideV w:color="4bacc6" w:space="0" w:sz="8" w:val="single"/>
        </w:tblBorders>
        <w:tblLayout w:type="fixed"/>
        <w:tblLook w:val="0000"/>
      </w:tblPr>
      <w:tblGrid>
        <w:gridCol w:w="5515"/>
        <w:gridCol w:w="3038"/>
        <w:gridCol w:w="3040"/>
        <w:gridCol w:w="3041"/>
        <w:tblGridChange w:id="0">
          <w:tblGrid>
            <w:gridCol w:w="5515"/>
            <w:gridCol w:w="3038"/>
            <w:gridCol w:w="3040"/>
            <w:gridCol w:w="3041"/>
          </w:tblGrid>
        </w:tblGridChange>
      </w:tblGrid>
      <w:tr>
        <w:trPr>
          <w:cantSplit w:val="0"/>
          <w:trHeight w:val="281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1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  aktivnosti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1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Sudionici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1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Broj susreta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1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Voditelj/suradnici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gridSpan w:val="4"/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Individualno savjetovanje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Otvoreni sat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Roditelji učenika škole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 potrebi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Michaela Gmuša Muža, prof.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Školska medijacija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Učenici škole/roditelji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 potrebi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Michaela Gmuša Muža, prof.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Adela Kadrić Dobrenić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gridSpan w:val="4"/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Edukacija na roditeljskim sastancima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Predavanja školske liječnice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djelatnika Zavoda za javno zdravstvo SMŽ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Roditelji učenika škole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Školska medicina I HZJZ SMŽ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Izazovi i rizici puberteta i adolescencije (razvoj,učenje,emocionalni problem I poremećaji,rizična ponašanja: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alkohol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,cigarete I droge,nasilje,rizična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spolna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ponašanja)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Roditelji učenika 6.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7. razreda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Savjetovalište za djecu, adolescente i obitelj 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Medijska pismenost: odgovoran pristup internetu i suvremenim medijima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Roditelji učenika 6. I 7. razreda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Savjetovalište za djecu, adolescente I obitelj</w:t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gridSpan w:val="4"/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Sudjelovanje u radu Vijeća roditelja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Policajac u zajednici –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Preventivne aktivnosti na području Grada Gline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Članovi Vijeća roditelja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Djelatnici PP Glina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Sportski dan 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Projektni dan sportom protiv ovisnosti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Roditelji učenika škole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Vijeće roditelja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Djelatnici OŠ Glina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Savjetodavni rad s roditeljima djece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Roditelji učenika škole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prema zahtjevu i potrebi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stručna služba</w:t>
            </w:r>
          </w:p>
        </w:tc>
      </w:tr>
    </w:tbl>
    <w:p w:rsidR="00000000" w:rsidDel="00000000" w:rsidP="00000000" w:rsidRDefault="00000000" w:rsidRPr="00000000" w14:paraId="00000124">
      <w:pPr>
        <w:pStyle w:val="Heading4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Style w:val="Heading4"/>
        <w:rPr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RAD S UČITELJIMA</w:t>
      </w:r>
      <w:r w:rsidDel="00000000" w:rsidR="00000000" w:rsidRPr="00000000">
        <w:rPr>
          <w:rtl w:val="0"/>
        </w:rPr>
      </w:r>
    </w:p>
    <w:tbl>
      <w:tblPr>
        <w:tblStyle w:val="Table5"/>
        <w:tblW w:w="14728.000000000002" w:type="dxa"/>
        <w:jc w:val="left"/>
        <w:tbl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H w:color="4bacc6" w:space="0" w:sz="8" w:val="single"/>
          <w:insideV w:color="4bacc6" w:space="0" w:sz="8" w:val="single"/>
        </w:tblBorders>
        <w:tblLayout w:type="fixed"/>
        <w:tblLook w:val="0000"/>
      </w:tblPr>
      <w:tblGrid>
        <w:gridCol w:w="5739"/>
        <w:gridCol w:w="3638"/>
        <w:gridCol w:w="1712"/>
        <w:gridCol w:w="3639"/>
        <w:tblGridChange w:id="0">
          <w:tblGrid>
            <w:gridCol w:w="5739"/>
            <w:gridCol w:w="3638"/>
            <w:gridCol w:w="1712"/>
            <w:gridCol w:w="3639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Tema, opis aktivnosti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Sudionici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Broj susreta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Voditelj, suradnici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gridSpan w:val="4"/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ind w:left="643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Individualno savjetovanje o postupanju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Otvoreni sat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Učitelji škole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 potrebi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Michaela Gmuša Muža, prof.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spacing w:after="0" w:line="240" w:lineRule="auto"/>
              <w:ind w:left="643" w:firstLine="0"/>
              <w:rPr>
                <w:rFonts w:ascii="Cambria" w:cs="Cambria" w:eastAsia="Cambria" w:hAnsi="Cambri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gridSpan w:val="4"/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ind w:left="643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Grupni rad, osnaživanje za rad na prevenciji problema u ponašanju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ind w:left="643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Stručno usavršavanju u kolektivu 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after="0" w:line="240" w:lineRule="auto"/>
              <w:ind w:left="643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teme iz područja preventivnih aktivnosti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Učitelji škole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Michaela Gmuša Muža, prof.</w:t>
            </w:r>
          </w:p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Vanjski suradnici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top"/>
          </w:tcPr>
          <w:p w:rsidR="00000000" w:rsidDel="00000000" w:rsidP="00000000" w:rsidRDefault="00000000" w:rsidRPr="00000000" w14:paraId="00000143">
            <w:pPr>
              <w:spacing w:after="0" w:line="240" w:lineRule="auto"/>
              <w:ind w:left="643" w:firstLine="0"/>
              <w:rPr>
                <w:rFonts w:ascii="Cambria" w:cs="Cambria" w:eastAsia="Cambria" w:hAnsi="Cambri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top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top"/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top"/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4" w:hRule="atLeast"/>
          <w:tblHeader w:val="0"/>
        </w:trPr>
        <w:tc>
          <w:tcPr>
            <w:gridSpan w:val="4"/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ind w:left="643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Unapređenje kvalitete rada s učenicima s teškoćama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ind w:left="643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Stručno usavršavanju u kolektivu 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after="0" w:line="240" w:lineRule="auto"/>
              <w:ind w:left="643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teme iz područja rada s učenicima s teškoćama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Učitelji škole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Michaela Gmuša Muža, prof.</w:t>
            </w:r>
          </w:p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Vanjski suradnici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spacing w:after="0" w:line="240" w:lineRule="auto"/>
              <w:ind w:left="643" w:firstLine="0"/>
              <w:rPr>
                <w:rFonts w:ascii="Cambria" w:cs="Cambria" w:eastAsia="Cambria" w:hAnsi="Cambri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5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Comic Sans MS"/>
  <w:font w:name="Georgia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 Narrow" w:cs="Arial Narrow" w:eastAsia="Arial Narrow" w:hAnsi="Arial Narro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ind w:left="1440"/>
    </w:pPr>
    <w:rPr>
      <w:rFonts w:ascii="Comic Sans MS" w:cs="Comic Sans MS" w:eastAsia="Comic Sans MS" w:hAnsi="Comic Sans MS"/>
      <w:b w:val="1"/>
      <w:sz w:val="22"/>
      <w:szCs w:val="22"/>
      <w:vertAlign w:val="baseline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spacing w:after="0" w:line="240" w:lineRule="auto"/>
      <w:jc w:val="center"/>
    </w:pPr>
    <w:rPr>
      <w:rFonts w:ascii="Comic Sans MS" w:cs="Comic Sans MS" w:eastAsia="Comic Sans MS" w:hAnsi="Comic Sans MS"/>
      <w:b w:val="1"/>
      <w:sz w:val="22"/>
      <w:szCs w:val="22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i w:val="1"/>
      <w:color w:val="4f81bd"/>
      <w:sz w:val="22"/>
      <w:szCs w:val="22"/>
      <w:vertAlign w:val="baseline"/>
    </w:rPr>
  </w:style>
  <w:style w:type="paragraph" w:styleId="Heading5">
    <w:name w:val="heading 5"/>
    <w:basedOn w:val="Normal"/>
    <w:next w:val="Normal"/>
    <w:pPr>
      <w:spacing w:after="60" w:before="240" w:line="276" w:lineRule="auto"/>
    </w:pPr>
    <w:rPr>
      <w:rFonts w:ascii="Calibri" w:cs="Calibri" w:eastAsia="Calibri" w:hAnsi="Calibri"/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ind w:left="1440"/>
    </w:pPr>
    <w:rPr>
      <w:rFonts w:ascii="Comic Sans MS" w:cs="Comic Sans MS" w:eastAsia="Comic Sans MS" w:hAnsi="Comic Sans MS"/>
      <w:b w:val="1"/>
      <w:sz w:val="22"/>
      <w:szCs w:val="22"/>
      <w:vertAlign w:val="baseline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spacing w:after="0" w:line="240" w:lineRule="auto"/>
      <w:jc w:val="center"/>
    </w:pPr>
    <w:rPr>
      <w:rFonts w:ascii="Comic Sans MS" w:cs="Comic Sans MS" w:eastAsia="Comic Sans MS" w:hAnsi="Comic Sans MS"/>
      <w:b w:val="1"/>
      <w:sz w:val="22"/>
      <w:szCs w:val="22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i w:val="1"/>
      <w:color w:val="4f81bd"/>
      <w:sz w:val="22"/>
      <w:szCs w:val="22"/>
      <w:vertAlign w:val="baseline"/>
    </w:rPr>
  </w:style>
  <w:style w:type="paragraph" w:styleId="Heading5">
    <w:name w:val="heading 5"/>
    <w:basedOn w:val="Normal"/>
    <w:next w:val="Normal"/>
    <w:pPr>
      <w:spacing w:after="60" w:before="240" w:line="276" w:lineRule="auto"/>
    </w:pPr>
    <w:rPr>
      <w:rFonts w:ascii="Calibri" w:cs="Calibri" w:eastAsia="Calibri" w:hAnsi="Calibri"/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ind w:left="1440"/>
    </w:pPr>
    <w:rPr>
      <w:rFonts w:ascii="Comic Sans MS" w:cs="Comic Sans MS" w:eastAsia="Comic Sans MS" w:hAnsi="Comic Sans MS"/>
      <w:b w:val="1"/>
      <w:sz w:val="22"/>
      <w:szCs w:val="22"/>
      <w:vertAlign w:val="baseline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spacing w:after="0" w:line="240" w:lineRule="auto"/>
      <w:jc w:val="center"/>
    </w:pPr>
    <w:rPr>
      <w:rFonts w:ascii="Comic Sans MS" w:cs="Comic Sans MS" w:eastAsia="Comic Sans MS" w:hAnsi="Comic Sans MS"/>
      <w:b w:val="1"/>
      <w:sz w:val="22"/>
      <w:szCs w:val="22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i w:val="1"/>
      <w:color w:val="4f81bd"/>
      <w:sz w:val="22"/>
      <w:szCs w:val="22"/>
      <w:vertAlign w:val="baseline"/>
    </w:rPr>
  </w:style>
  <w:style w:type="paragraph" w:styleId="Heading5">
    <w:name w:val="heading 5"/>
    <w:basedOn w:val="Normal"/>
    <w:next w:val="Normal"/>
    <w:pPr>
      <w:spacing w:after="60" w:before="240" w:line="276" w:lineRule="auto"/>
    </w:pPr>
    <w:rPr>
      <w:rFonts w:ascii="Calibri" w:cs="Calibri" w:eastAsia="Calibri" w:hAnsi="Calibri"/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hr-HR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0" w:before="480" w:line="276" w:lineRule="auto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hr-HR"/>
    </w:rPr>
  </w:style>
  <w:style w:type="paragraph" w:styleId="Heading2">
    <w:name w:val="Heading 2"/>
    <w:basedOn w:val="Normal"/>
    <w:next w:val="Normal"/>
    <w:autoRedefine w:val="0"/>
    <w:hidden w:val="0"/>
    <w:qFormat w:val="1"/>
    <w:pPr>
      <w:keepNext w:val="1"/>
      <w:suppressAutoHyphens w:val="1"/>
      <w:spacing w:after="0" w:line="240" w:lineRule="auto"/>
      <w:ind w:left="1440" w:leftChars="-1" w:rightChars="0" w:firstLineChars="-1"/>
      <w:textDirection w:val="btLr"/>
      <w:textAlignment w:val="top"/>
      <w:outlineLvl w:val="1"/>
    </w:pPr>
    <w:rPr>
      <w:rFonts w:ascii="Comic Sans MS" w:cs="Arial Unicode MS" w:eastAsia="Arial Unicode MS" w:hAnsi="Comic Sans MS"/>
      <w:b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hr-HR" w:val="en-AU"/>
    </w:rPr>
  </w:style>
  <w:style w:type="paragraph" w:styleId="Heading3">
    <w:name w:val="Heading 3"/>
    <w:basedOn w:val="Normal"/>
    <w:next w:val="Normal"/>
    <w:autoRedefine w:val="0"/>
    <w:hidden w:val="0"/>
    <w:qFormat w:val="1"/>
    <w:pPr>
      <w:keepNext w:val="1"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2"/>
    </w:pPr>
    <w:rPr>
      <w:rFonts w:ascii="Comic Sans MS" w:cs="Arial Unicode MS" w:eastAsia="Arial Unicode MS" w:hAnsi="Comic Sans MS"/>
      <w:b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hr-HR" w:val="de-DE"/>
    </w:rPr>
  </w:style>
  <w:style w:type="paragraph" w:styleId="Heading4">
    <w:name w:val="Heading 4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0" w:before="200" w:line="276" w:lineRule="auto"/>
      <w:ind w:leftChars="-1" w:rightChars="0" w:firstLineChars="-1"/>
      <w:textDirection w:val="btLr"/>
      <w:textAlignment w:val="top"/>
      <w:outlineLvl w:val="3"/>
    </w:pPr>
    <w:rPr>
      <w:rFonts w:ascii="Cambria" w:cs="Times New Roman" w:eastAsia="Times New Roman" w:hAnsi="Cambria"/>
      <w:b w:val="1"/>
      <w:bCs w:val="1"/>
      <w:i w:val="1"/>
      <w:iCs w:val="1"/>
      <w:color w:val="4f81bd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hr-HR"/>
    </w:rPr>
  </w:style>
  <w:style w:type="paragraph" w:styleId="Heading5">
    <w:name w:val="Heading 5"/>
    <w:basedOn w:val="Normal"/>
    <w:next w:val="Normal"/>
    <w:autoRedefine w:val="0"/>
    <w:hidden w:val="0"/>
    <w:qFormat w:val="1"/>
    <w:pPr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4"/>
    </w:pPr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hr-HR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2Char">
    <w:name w:val="Heading 2 Char"/>
    <w:next w:val="Heading2Char"/>
    <w:autoRedefine w:val="0"/>
    <w:hidden w:val="0"/>
    <w:qFormat w:val="0"/>
    <w:rPr>
      <w:rFonts w:ascii="Comic Sans MS" w:cs="Arial Unicode MS" w:eastAsia="Arial Unicode MS" w:hAnsi="Comic Sans MS"/>
      <w:b w:val="1"/>
      <w:w w:val="100"/>
      <w:position w:val="-1"/>
      <w:szCs w:val="20"/>
      <w:effect w:val="none"/>
      <w:vertAlign w:val="baseline"/>
      <w:cs w:val="0"/>
      <w:em w:val="none"/>
      <w:lang w:eastAsia="hr-HR" w:val="en-AU"/>
    </w:rPr>
  </w:style>
  <w:style w:type="character" w:styleId="Heading3Char">
    <w:name w:val="Heading 3 Char"/>
    <w:next w:val="Heading3Char"/>
    <w:autoRedefine w:val="0"/>
    <w:hidden w:val="0"/>
    <w:qFormat w:val="0"/>
    <w:rPr>
      <w:rFonts w:ascii="Comic Sans MS" w:cs="Arial Unicode MS" w:eastAsia="Arial Unicode MS" w:hAnsi="Comic Sans MS"/>
      <w:b w:val="1"/>
      <w:w w:val="100"/>
      <w:position w:val="-1"/>
      <w:szCs w:val="20"/>
      <w:effect w:val="none"/>
      <w:vertAlign w:val="baseline"/>
      <w:cs w:val="0"/>
      <w:em w:val="none"/>
      <w:lang w:eastAsia="hr-HR" w:val="de-DE"/>
    </w:rPr>
  </w:style>
  <w:style w:type="paragraph" w:styleId="BodyTextIndent2">
    <w:name w:val="Body Text Indent 2"/>
    <w:basedOn w:val="Normal"/>
    <w:next w:val="BodyTextIndent2"/>
    <w:autoRedefine w:val="0"/>
    <w:hidden w:val="0"/>
    <w:qFormat w:val="1"/>
    <w:pPr>
      <w:suppressAutoHyphens w:val="1"/>
      <w:spacing w:after="0" w:line="240" w:lineRule="auto"/>
      <w:ind w:left="360" w:leftChars="-1" w:rightChars="0" w:firstLineChars="-1"/>
      <w:textDirection w:val="btLr"/>
      <w:textAlignment w:val="top"/>
      <w:outlineLvl w:val="0"/>
    </w:pPr>
    <w:rPr>
      <w:rFonts w:ascii="Comic Sans MS" w:cs="Times New Roman" w:eastAsia="Times New Roman" w:hAnsi="Comic Sans MS"/>
      <w:w w:val="100"/>
      <w:position w:val="-1"/>
      <w:sz w:val="24"/>
      <w:szCs w:val="20"/>
      <w:effect w:val="none"/>
      <w:vertAlign w:val="baseline"/>
      <w:cs w:val="0"/>
      <w:em w:val="none"/>
      <w:lang w:bidi="ar-SA" w:eastAsia="hr-HR" w:val="en-AU"/>
    </w:rPr>
  </w:style>
  <w:style w:type="character" w:styleId="BodyTextIndent2Char">
    <w:name w:val="Body Text Indent 2 Char"/>
    <w:next w:val="BodyTextIndent2Char"/>
    <w:autoRedefine w:val="0"/>
    <w:hidden w:val="0"/>
    <w:qFormat w:val="0"/>
    <w:rPr>
      <w:rFonts w:ascii="Comic Sans MS" w:cs="Times New Roman" w:eastAsia="Times New Roman" w:hAnsi="Comic Sans MS"/>
      <w:w w:val="100"/>
      <w:position w:val="-1"/>
      <w:sz w:val="24"/>
      <w:szCs w:val="20"/>
      <w:effect w:val="none"/>
      <w:vertAlign w:val="baseline"/>
      <w:cs w:val="0"/>
      <w:em w:val="none"/>
      <w:lang w:eastAsia="hr-HR" w:val="en-AU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hr-H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hr-HR"/>
    </w:rPr>
  </w:style>
  <w:style w:type="paragraph" w:styleId="IntenseQuote">
    <w:name w:val="Intense Quote"/>
    <w:basedOn w:val="Normal"/>
    <w:next w:val="Normal"/>
    <w:autoRedefine w:val="0"/>
    <w:hidden w:val="0"/>
    <w:qFormat w:val="0"/>
    <w:pPr>
      <w:pBdr>
        <w:bottom w:color="4f81bd" w:space="4" w:sz="4" w:val="single"/>
      </w:pBdr>
      <w:suppressAutoHyphens w:val="1"/>
      <w:spacing w:after="280" w:before="200" w:line="240" w:lineRule="auto"/>
      <w:ind w:left="936" w:right="936"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i w:val="1"/>
      <w:iCs w:val="1"/>
      <w:color w:val="4f81bd"/>
      <w:w w:val="100"/>
      <w:position w:val="-1"/>
      <w:sz w:val="24"/>
      <w:szCs w:val="24"/>
      <w:effect w:val="none"/>
      <w:vertAlign w:val="baseline"/>
      <w:cs w:val="0"/>
      <w:em w:val="none"/>
      <w:lang w:bidi="ar-SA" w:eastAsia="hr-HR" w:val="hr-HR"/>
    </w:rPr>
  </w:style>
  <w:style w:type="character" w:styleId="IntenseQuoteChar">
    <w:name w:val="Intense Quote Char"/>
    <w:next w:val="IntenseQuoteCh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i w:val="1"/>
      <w:iCs w:val="1"/>
      <w:color w:val="4f81bd"/>
      <w:w w:val="100"/>
      <w:position w:val="-1"/>
      <w:sz w:val="24"/>
      <w:szCs w:val="24"/>
      <w:effect w:val="none"/>
      <w:vertAlign w:val="baseline"/>
      <w:cs w:val="0"/>
      <w:em w:val="none"/>
      <w:lang w:eastAsia="hr-HR" w:val="hr-HR"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val="hr-HR"/>
    </w:rPr>
  </w:style>
  <w:style w:type="table" w:styleId="LightGrid-Accent5">
    <w:name w:val="Light Grid - Accent 5"/>
    <w:basedOn w:val="TableNormal"/>
    <w:next w:val="LightGrid-Accent5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LightGrid-Accent5"/>
      <w:tblStyleRowBandSize w:val="1"/>
      <w:tblStyleColBandSize w:val="1"/>
      <w:jc w:val="left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</w:style>
  <w:style w:type="character" w:styleId="Heading4Char">
    <w:name w:val="Heading 4 Char"/>
    <w:next w:val="Heading4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color w:val="4f81bd"/>
      <w:w w:val="100"/>
      <w:position w:val="-1"/>
      <w:effect w:val="none"/>
      <w:vertAlign w:val="baseline"/>
      <w:cs w:val="0"/>
      <w:em w:val="none"/>
      <w:lang w:val="hr-HR"/>
    </w:rPr>
  </w:style>
  <w:style w:type="character" w:styleId="Heading5Char">
    <w:name w:val="Heading 5 Char"/>
    <w:next w:val="Heading5Char"/>
    <w:autoRedefine w:val="0"/>
    <w:hidden w:val="0"/>
    <w:qFormat w:val="0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cEBoqVPQoD1lBFfdc2YH0aDyUw==">CgMxLjA4AHIhMTVDTUswZjBzZ3lJTTgybkVlMUJVaVRlMmUyb25EZmhk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2021-09-27T09:31:00Z</dcterms:created>
  <dc:creator>arbrandic</dc:creator>
</cp:coreProperties>
</file>